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89E52" w14:textId="77777777" w:rsidR="007F5D3D" w:rsidRPr="007C294F" w:rsidRDefault="007F5D3D" w:rsidP="007F5D3D">
      <w:pPr>
        <w:pStyle w:val="Titolo2"/>
        <w:rPr>
          <w:rFonts w:ascii="Century Gothic" w:hAnsi="Century Gothic" w:cs="Century Gothic"/>
          <w:i w:val="0"/>
          <w:color w:val="000000"/>
          <w:sz w:val="32"/>
        </w:rPr>
      </w:pPr>
      <w:bookmarkStart w:id="0" w:name="_Toc130901587"/>
      <w:bookmarkStart w:id="1" w:name="_GoBack"/>
      <w:bookmarkEnd w:id="1"/>
      <w:r>
        <w:rPr>
          <w:rFonts w:ascii="Century Gothic" w:hAnsi="Century Gothic" w:cs="Century Gothic"/>
          <w:i w:val="0"/>
          <w:color w:val="000000"/>
          <w:sz w:val="32"/>
          <w:lang w:val="it-IT"/>
        </w:rPr>
        <w:t xml:space="preserve">II.3 </w:t>
      </w:r>
      <w:r w:rsidRPr="007C294F">
        <w:rPr>
          <w:rFonts w:ascii="Century Gothic" w:hAnsi="Century Gothic" w:cs="Century Gothic"/>
          <w:i w:val="0"/>
          <w:color w:val="000000"/>
          <w:sz w:val="32"/>
        </w:rPr>
        <w:t>Rischi corruttivi e trasparenza</w:t>
      </w:r>
      <w:bookmarkEnd w:id="0"/>
    </w:p>
    <w:p w14:paraId="6CCEAC8B" w14:textId="77777777" w:rsidR="007F5D3D" w:rsidRDefault="007F5D3D" w:rsidP="007F5D3D">
      <w:pPr>
        <w:suppressAutoHyphens w:val="0"/>
        <w:autoSpaceDE w:val="0"/>
        <w:autoSpaceDN w:val="0"/>
        <w:adjustRightInd w:val="0"/>
        <w:spacing w:after="0" w:line="240" w:lineRule="auto"/>
        <w:jc w:val="both"/>
        <w:rPr>
          <w:rFonts w:ascii="Century Gothic" w:hAnsi="Century Gothic" w:cs="Century Gothic"/>
          <w:sz w:val="20"/>
          <w:szCs w:val="20"/>
          <w:highlight w:val="yellow"/>
        </w:rPr>
      </w:pPr>
    </w:p>
    <w:p w14:paraId="4FBE3AF8" w14:textId="77777777" w:rsidR="007F5D3D" w:rsidRPr="00F80142" w:rsidRDefault="007F5D3D" w:rsidP="007F5D3D">
      <w:pPr>
        <w:suppressAutoHyphens w:val="0"/>
        <w:autoSpaceDE w:val="0"/>
        <w:autoSpaceDN w:val="0"/>
        <w:adjustRightInd w:val="0"/>
        <w:spacing w:after="0" w:line="240" w:lineRule="auto"/>
        <w:jc w:val="both"/>
        <w:rPr>
          <w:rFonts w:ascii="Century Gothic" w:hAnsi="Century Gothic" w:cs="Century Gothic"/>
          <w:sz w:val="20"/>
          <w:szCs w:val="20"/>
        </w:rPr>
      </w:pPr>
      <w:r w:rsidRPr="00F80142">
        <w:rPr>
          <w:rFonts w:ascii="Century Gothic" w:hAnsi="Century Gothic" w:cs="Century Gothic"/>
          <w:sz w:val="20"/>
          <w:szCs w:val="20"/>
        </w:rPr>
        <w:t xml:space="preserve">La </w:t>
      </w:r>
      <w:r>
        <w:rPr>
          <w:rFonts w:ascii="Century Gothic" w:hAnsi="Century Gothic" w:cs="Century Gothic"/>
          <w:sz w:val="20"/>
          <w:szCs w:val="20"/>
        </w:rPr>
        <w:t xml:space="preserve">presente </w:t>
      </w:r>
      <w:r w:rsidRPr="00F80142">
        <w:rPr>
          <w:rFonts w:ascii="Century Gothic" w:hAnsi="Century Gothic" w:cs="Century Gothic"/>
          <w:sz w:val="20"/>
          <w:szCs w:val="20"/>
        </w:rPr>
        <w:t xml:space="preserve">sottosezione è </w:t>
      </w:r>
      <w:r>
        <w:rPr>
          <w:rFonts w:ascii="Century Gothic" w:hAnsi="Century Gothic" w:cs="Century Gothic"/>
          <w:sz w:val="20"/>
          <w:szCs w:val="20"/>
        </w:rPr>
        <w:t xml:space="preserve">stata </w:t>
      </w:r>
      <w:r w:rsidRPr="00F80142">
        <w:rPr>
          <w:rFonts w:ascii="Century Gothic" w:hAnsi="Century Gothic" w:cs="Century Gothic"/>
          <w:sz w:val="20"/>
          <w:szCs w:val="20"/>
        </w:rPr>
        <w:t>predisposta dal Responsabile della prevenzione della corruzione e della trasparenza (RPCT) sulla base degli obiettivi strategici in materia di prevenzione della corruzione e trasparenza definiti dall’organo di indirizzo, formulati in una logica di integrazione con quelli specifici programmati in modo funzionale alle strategie di creazione di valore</w:t>
      </w:r>
      <w:r>
        <w:rPr>
          <w:rFonts w:ascii="Century Gothic" w:hAnsi="Century Gothic" w:cs="Century Gothic"/>
          <w:sz w:val="20"/>
          <w:szCs w:val="20"/>
        </w:rPr>
        <w:t xml:space="preserve"> (Cfr. </w:t>
      </w:r>
      <w:r w:rsidRPr="00094A77">
        <w:rPr>
          <w:rFonts w:ascii="Century Gothic" w:hAnsi="Century Gothic" w:cs="Century Gothic"/>
          <w:b/>
          <w:sz w:val="20"/>
          <w:szCs w:val="20"/>
        </w:rPr>
        <w:t>Allegato 2 “Sezione 2 – Sottosezione 3 - Rischi corruttivi e trasparenza</w:t>
      </w:r>
      <w:r>
        <w:rPr>
          <w:rFonts w:ascii="Century Gothic" w:hAnsi="Century Gothic" w:cs="Century Gothic"/>
          <w:sz w:val="20"/>
          <w:szCs w:val="20"/>
        </w:rPr>
        <w:t>”).</w:t>
      </w:r>
    </w:p>
    <w:p w14:paraId="4FE91A47" w14:textId="77777777" w:rsidR="007F5D3D" w:rsidRPr="00F80142" w:rsidRDefault="007F5D3D" w:rsidP="007F5D3D">
      <w:pPr>
        <w:suppressAutoHyphens w:val="0"/>
        <w:autoSpaceDE w:val="0"/>
        <w:autoSpaceDN w:val="0"/>
        <w:adjustRightInd w:val="0"/>
        <w:spacing w:after="0" w:line="240" w:lineRule="auto"/>
        <w:jc w:val="both"/>
        <w:rPr>
          <w:rFonts w:ascii="Century Gothic" w:hAnsi="Century Gothic" w:cs="Century Gothic"/>
          <w:sz w:val="20"/>
          <w:szCs w:val="20"/>
        </w:rPr>
      </w:pPr>
      <w:r w:rsidRPr="00F80142">
        <w:rPr>
          <w:rFonts w:ascii="Century Gothic" w:hAnsi="Century Gothic" w:cs="Century Gothic"/>
          <w:sz w:val="20"/>
          <w:szCs w:val="20"/>
        </w:rPr>
        <w:t>Gli elementi essenziali della sottosezione, volti a individuare e a contenere rischi corruttivi, sono quelli indicati nel Piano nazionale anticorruzione (PNA)</w:t>
      </w:r>
      <w:r>
        <w:rPr>
          <w:rFonts w:ascii="Century Gothic" w:hAnsi="Century Gothic" w:cs="Century Gothic"/>
          <w:sz w:val="20"/>
          <w:szCs w:val="20"/>
        </w:rPr>
        <w:t xml:space="preserve"> 2022</w:t>
      </w:r>
      <w:r w:rsidRPr="00F80142">
        <w:rPr>
          <w:rFonts w:ascii="Century Gothic" w:hAnsi="Century Gothic" w:cs="Century Gothic"/>
          <w:sz w:val="20"/>
          <w:szCs w:val="20"/>
        </w:rPr>
        <w:t xml:space="preserve"> e negli atti di regolazione generali adottati dall’ANAC ai sensi della legge n. 190 del 2012 e del decreto legislativo n. 33 del 2013. Tali elementi sono stati sintetizzati nella Tabella 4 “Rischi corruttivi e trasparenza” che, per ogni obiettivo generale di AREUS inerente alla tematica, riporta:</w:t>
      </w:r>
    </w:p>
    <w:p w14:paraId="3CA1FBFF" w14:textId="77777777" w:rsidR="007F5D3D" w:rsidRPr="00F80142"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la valutazione di impatto del contesto esterno;</w:t>
      </w:r>
    </w:p>
    <w:p w14:paraId="2D4D3630" w14:textId="77777777" w:rsidR="007F5D3D" w:rsidRPr="00F80142"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la valutazione di impatto del contesto interno;</w:t>
      </w:r>
    </w:p>
    <w:p w14:paraId="06248D08" w14:textId="77777777" w:rsidR="007F5D3D" w:rsidRPr="00F80142"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la mappatura dei processi sensibili;</w:t>
      </w:r>
    </w:p>
    <w:p w14:paraId="43432B39" w14:textId="77777777" w:rsidR="007F5D3D" w:rsidRPr="00F80142"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l’identificazione e valutazione dei rischi corruttivi potenziali e concreti;</w:t>
      </w:r>
    </w:p>
    <w:p w14:paraId="02DDEFD8" w14:textId="77777777" w:rsidR="007F5D3D" w:rsidRPr="00F80142"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la progettazione di misure organizzative per il trattamento del rischio,</w:t>
      </w:r>
    </w:p>
    <w:p w14:paraId="1746E58C" w14:textId="77777777" w:rsidR="007F5D3D" w:rsidRDefault="007F5D3D" w:rsidP="007F5D3D">
      <w:pPr>
        <w:pStyle w:val="Paragrafoelenco"/>
        <w:numPr>
          <w:ilvl w:val="0"/>
          <w:numId w:val="2"/>
        </w:numPr>
        <w:spacing w:after="0" w:line="240" w:lineRule="auto"/>
        <w:jc w:val="both"/>
        <w:rPr>
          <w:rFonts w:ascii="Century Gothic" w:hAnsi="Century Gothic" w:cs="Century Gothic"/>
          <w:sz w:val="20"/>
        </w:rPr>
      </w:pPr>
      <w:r w:rsidRPr="00F80142">
        <w:rPr>
          <w:rFonts w:ascii="Century Gothic" w:hAnsi="Century Gothic" w:cs="Century Gothic"/>
          <w:sz w:val="20"/>
        </w:rPr>
        <w:t>il monitoraggio sull’idoneità e sull’attuazione delle misure.</w:t>
      </w:r>
      <w:r w:rsidRPr="00A340E6">
        <w:rPr>
          <w:rFonts w:ascii="Century Gothic" w:hAnsi="Century Gothic" w:cs="Century Gothic"/>
          <w:sz w:val="20"/>
        </w:rPr>
        <w:t xml:space="preserve"> </w:t>
      </w:r>
    </w:p>
    <w:p w14:paraId="15E0E88E" w14:textId="77777777" w:rsidR="007F5D3D" w:rsidRPr="00A46A42" w:rsidRDefault="007F5D3D" w:rsidP="007F5D3D">
      <w:pPr>
        <w:pStyle w:val="Paragrafoelenco"/>
        <w:spacing w:after="0" w:line="240" w:lineRule="auto"/>
        <w:jc w:val="both"/>
        <w:rPr>
          <w:rFonts w:ascii="Century Gothic" w:hAnsi="Century Gothic" w:cs="Century Gothic"/>
          <w:sz w:val="20"/>
        </w:rPr>
      </w:pPr>
    </w:p>
    <w:p w14:paraId="70465F02" w14:textId="77777777" w:rsidR="007F5D3D" w:rsidRPr="00AA71DF" w:rsidRDefault="007F5D3D" w:rsidP="007F5D3D">
      <w:pPr>
        <w:spacing w:after="0" w:line="240" w:lineRule="auto"/>
        <w:jc w:val="both"/>
        <w:rPr>
          <w:rFonts w:ascii="Century Gothic" w:hAnsi="Century Gothic" w:cs="Century Gothic"/>
          <w:sz w:val="20"/>
        </w:rPr>
      </w:pPr>
      <w:r w:rsidRPr="00AA71DF">
        <w:rPr>
          <w:rFonts w:ascii="Century Gothic" w:hAnsi="Century Gothic" w:cs="Century Gothic"/>
          <w:sz w:val="20"/>
        </w:rPr>
        <w:t>Per l’elaborazione del</w:t>
      </w:r>
      <w:r>
        <w:rPr>
          <w:rFonts w:ascii="Century Gothic" w:hAnsi="Century Gothic" w:cs="Century Gothic"/>
          <w:sz w:val="20"/>
        </w:rPr>
        <w:t>la sottosezione</w:t>
      </w:r>
      <w:r w:rsidRPr="00AA71DF">
        <w:rPr>
          <w:rFonts w:ascii="Century Gothic" w:hAnsi="Century Gothic" w:cs="Century Gothic"/>
          <w:sz w:val="20"/>
        </w:rPr>
        <w:t xml:space="preserve"> è stata coinvolta la Direzione Generale e tutti i Dirigenti, ai fini dell’aggiornamento della mappatura dei processi/rischi/misure.</w:t>
      </w:r>
    </w:p>
    <w:p w14:paraId="56B7BE3F" w14:textId="77777777" w:rsidR="007F5D3D" w:rsidRPr="00AA71DF" w:rsidRDefault="007F5D3D" w:rsidP="007F5D3D">
      <w:pPr>
        <w:spacing w:after="0" w:line="240" w:lineRule="auto"/>
        <w:jc w:val="both"/>
        <w:rPr>
          <w:rFonts w:ascii="Century Gothic" w:hAnsi="Century Gothic" w:cs="Century Gothic"/>
          <w:sz w:val="20"/>
        </w:rPr>
      </w:pPr>
      <w:r>
        <w:rPr>
          <w:rFonts w:ascii="Century Gothic" w:hAnsi="Century Gothic" w:cs="Century Gothic"/>
          <w:sz w:val="20"/>
        </w:rPr>
        <w:t xml:space="preserve">La </w:t>
      </w:r>
      <w:r w:rsidRPr="00AA71DF">
        <w:rPr>
          <w:rFonts w:ascii="Century Gothic" w:hAnsi="Century Gothic" w:cs="Century Gothic"/>
          <w:sz w:val="20"/>
        </w:rPr>
        <w:t>presente è stat</w:t>
      </w:r>
      <w:r>
        <w:rPr>
          <w:rFonts w:ascii="Century Gothic" w:hAnsi="Century Gothic" w:cs="Century Gothic"/>
          <w:sz w:val="20"/>
        </w:rPr>
        <w:t>a</w:t>
      </w:r>
      <w:r w:rsidRPr="00AA71DF">
        <w:rPr>
          <w:rFonts w:ascii="Century Gothic" w:hAnsi="Century Gothic" w:cs="Century Gothic"/>
          <w:sz w:val="20"/>
        </w:rPr>
        <w:t xml:space="preserve">, inoltre, oggetto di consultazione pubblica aperta a tutti gli stakeholder, al fine di consentire la formulazione di proposte di integrazione e contributi di aggiornamento rispondenti a specifiche esigenze. </w:t>
      </w:r>
    </w:p>
    <w:p w14:paraId="620A4DBA" w14:textId="77777777" w:rsidR="007F5D3D" w:rsidRPr="00AA71DF" w:rsidRDefault="007F5D3D" w:rsidP="007F5D3D">
      <w:pPr>
        <w:spacing w:after="0" w:line="240" w:lineRule="auto"/>
        <w:jc w:val="both"/>
        <w:rPr>
          <w:rFonts w:ascii="Century Gothic" w:hAnsi="Century Gothic" w:cs="Century Gothic"/>
          <w:sz w:val="20"/>
        </w:rPr>
      </w:pPr>
      <w:r w:rsidRPr="00AA71DF">
        <w:rPr>
          <w:rFonts w:ascii="Century Gothic" w:hAnsi="Century Gothic" w:cs="Century Gothic"/>
          <w:sz w:val="20"/>
        </w:rPr>
        <w:t>In tema di misure generali e specifiche per la prevenzione della corruzione, il presente aggiornamento vede, come punto di partenza, una rilevante ricognizione dello stato di attuazione delle misure raggiunto nel corso dell’anno, stabilendo un nuovo piano delle azioni da intraprendere.</w:t>
      </w:r>
    </w:p>
    <w:p w14:paraId="4054C66A" w14:textId="77777777" w:rsidR="007F5D3D" w:rsidRPr="00AA71DF" w:rsidRDefault="007F5D3D" w:rsidP="007F5D3D">
      <w:pPr>
        <w:spacing w:after="0" w:line="240" w:lineRule="auto"/>
        <w:jc w:val="both"/>
        <w:rPr>
          <w:rFonts w:ascii="Century Gothic" w:hAnsi="Century Gothic" w:cs="Century Gothic"/>
          <w:sz w:val="20"/>
        </w:rPr>
      </w:pPr>
      <w:r w:rsidRPr="00AA71DF">
        <w:rPr>
          <w:rFonts w:ascii="Century Gothic" w:hAnsi="Century Gothic" w:cs="Century Gothic"/>
          <w:sz w:val="20"/>
        </w:rPr>
        <w:t>In riferimento alle misure specifiche per la prevenzione della corruzione, l’Ufficio del RPCT ha svolto un’attività di monitoraggio interno tramite incontri formativi e tavoli di lavoro con I responsabili di tutte le aree aziendali. L’attività di monitoraggio delle misure ha consentito di rilevare lo stato dell’arte sul livello di maturità del sistema di gestione della prevenzione della corruzione e della Trasparenza dell’AREUS, quale punto di partenza indispensabile per la programmazione delle misure nel triennio 202</w:t>
      </w:r>
      <w:r>
        <w:rPr>
          <w:rFonts w:ascii="Century Gothic" w:hAnsi="Century Gothic" w:cs="Century Gothic"/>
          <w:sz w:val="20"/>
        </w:rPr>
        <w:t>3</w:t>
      </w:r>
      <w:r w:rsidRPr="00AA71DF">
        <w:rPr>
          <w:rFonts w:ascii="Century Gothic" w:hAnsi="Century Gothic" w:cs="Century Gothic"/>
          <w:sz w:val="20"/>
        </w:rPr>
        <w:t>-202</w:t>
      </w:r>
      <w:r>
        <w:rPr>
          <w:rFonts w:ascii="Century Gothic" w:hAnsi="Century Gothic" w:cs="Century Gothic"/>
          <w:sz w:val="20"/>
        </w:rPr>
        <w:t>5</w:t>
      </w:r>
      <w:r w:rsidRPr="00AA71DF">
        <w:rPr>
          <w:rFonts w:ascii="Century Gothic" w:hAnsi="Century Gothic" w:cs="Century Gothic"/>
          <w:sz w:val="20"/>
        </w:rPr>
        <w:t>.</w:t>
      </w:r>
    </w:p>
    <w:p w14:paraId="795B2555" w14:textId="0F4CB54A" w:rsidR="006C065A" w:rsidRDefault="007F5D3D" w:rsidP="007F5D3D">
      <w:r>
        <w:rPr>
          <w:rFonts w:ascii="Century Gothic" w:hAnsi="Century Gothic" w:cs="Century Gothic"/>
          <w:sz w:val="20"/>
        </w:rPr>
        <w:t xml:space="preserve">Per approfondimenti sulla Sottosezione si rinvia al succitato </w:t>
      </w:r>
      <w:r w:rsidRPr="00E0506F">
        <w:rPr>
          <w:rFonts w:ascii="Century Gothic" w:hAnsi="Century Gothic" w:cs="Century Gothic"/>
          <w:b/>
          <w:sz w:val="20"/>
        </w:rPr>
        <w:t>Allegato 2</w:t>
      </w:r>
      <w:r>
        <w:rPr>
          <w:rFonts w:ascii="Century Gothic" w:hAnsi="Century Gothic" w:cs="Century Gothic"/>
          <w:sz w:val="20"/>
        </w:rPr>
        <w:t>.</w:t>
      </w:r>
    </w:p>
    <w:sectPr w:rsidR="006C06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21B4F13"/>
    <w:multiLevelType w:val="hybridMultilevel"/>
    <w:tmpl w:val="BF50D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91"/>
    <w:rsid w:val="00477F77"/>
    <w:rsid w:val="006C065A"/>
    <w:rsid w:val="007817F4"/>
    <w:rsid w:val="007F5D3D"/>
    <w:rsid w:val="00B37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51092-26E0-4EFC-AC5E-3A4290C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F5D3D"/>
    <w:pPr>
      <w:suppressAutoHyphens/>
      <w:spacing w:line="256" w:lineRule="auto"/>
    </w:pPr>
    <w:rPr>
      <w:rFonts w:ascii="Calibri" w:eastAsia="Calibri" w:hAnsi="Calibri" w:cs="Times New Roman"/>
      <w:lang w:eastAsia="ar-SA"/>
    </w:rPr>
  </w:style>
  <w:style w:type="paragraph" w:styleId="Titolo1">
    <w:name w:val="heading 1"/>
    <w:basedOn w:val="Normale"/>
    <w:next w:val="Normale"/>
    <w:link w:val="Titolo1Carattere"/>
    <w:qFormat/>
    <w:rsid w:val="007F5D3D"/>
    <w:pPr>
      <w:keepNext/>
      <w:numPr>
        <w:numId w:val="1"/>
      </w:numPr>
      <w:spacing w:before="240" w:after="60"/>
      <w:outlineLvl w:val="0"/>
    </w:pPr>
    <w:rPr>
      <w:rFonts w:ascii="Calibri Light" w:eastAsia="Times New Roman" w:hAnsi="Calibri Light" w:cs="Calibri Light"/>
      <w:b/>
      <w:bCs/>
      <w:kern w:val="1"/>
      <w:sz w:val="32"/>
      <w:szCs w:val="32"/>
      <w:lang w:val="x-none"/>
    </w:rPr>
  </w:style>
  <w:style w:type="paragraph" w:styleId="Titolo2">
    <w:name w:val="heading 2"/>
    <w:basedOn w:val="Normale"/>
    <w:next w:val="Normale"/>
    <w:link w:val="Titolo2Carattere"/>
    <w:qFormat/>
    <w:rsid w:val="007F5D3D"/>
    <w:pPr>
      <w:keepNext/>
      <w:numPr>
        <w:ilvl w:val="1"/>
        <w:numId w:val="1"/>
      </w:numPr>
      <w:spacing w:before="240" w:after="60"/>
      <w:outlineLvl w:val="1"/>
    </w:pPr>
    <w:rPr>
      <w:rFonts w:ascii="Calibri Light" w:eastAsia="Times New Roman" w:hAnsi="Calibri Light" w:cs="Calibri Light"/>
      <w:b/>
      <w:bCs/>
      <w:i/>
      <w:iCs/>
      <w:sz w:val="28"/>
      <w:szCs w:val="28"/>
      <w:lang w:val="x-none"/>
    </w:rPr>
  </w:style>
  <w:style w:type="paragraph" w:styleId="Titolo5">
    <w:name w:val="heading 5"/>
    <w:basedOn w:val="Normale"/>
    <w:next w:val="Normale"/>
    <w:link w:val="Titolo5Carattere"/>
    <w:qFormat/>
    <w:rsid w:val="007F5D3D"/>
    <w:pPr>
      <w:numPr>
        <w:ilvl w:val="4"/>
        <w:numId w:val="1"/>
      </w:num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F5D3D"/>
    <w:rPr>
      <w:rFonts w:ascii="Calibri Light" w:eastAsia="Times New Roman" w:hAnsi="Calibri Light" w:cs="Calibri Light"/>
      <w:b/>
      <w:bCs/>
      <w:kern w:val="1"/>
      <w:sz w:val="32"/>
      <w:szCs w:val="32"/>
      <w:lang w:val="x-none" w:eastAsia="ar-SA"/>
    </w:rPr>
  </w:style>
  <w:style w:type="character" w:customStyle="1" w:styleId="Titolo2Carattere">
    <w:name w:val="Titolo 2 Carattere"/>
    <w:basedOn w:val="Carpredefinitoparagrafo"/>
    <w:link w:val="Titolo2"/>
    <w:rsid w:val="007F5D3D"/>
    <w:rPr>
      <w:rFonts w:ascii="Calibri Light" w:eastAsia="Times New Roman" w:hAnsi="Calibri Light" w:cs="Calibri Light"/>
      <w:b/>
      <w:bCs/>
      <w:i/>
      <w:iCs/>
      <w:sz w:val="28"/>
      <w:szCs w:val="28"/>
      <w:lang w:val="x-none" w:eastAsia="ar-SA"/>
    </w:rPr>
  </w:style>
  <w:style w:type="character" w:customStyle="1" w:styleId="Titolo5Carattere">
    <w:name w:val="Titolo 5 Carattere"/>
    <w:basedOn w:val="Carpredefinitoparagrafo"/>
    <w:link w:val="Titolo5"/>
    <w:rsid w:val="007F5D3D"/>
    <w:rPr>
      <w:rFonts w:ascii="Calibri" w:eastAsia="Times New Roman" w:hAnsi="Calibri" w:cs="Times New Roman"/>
      <w:b/>
      <w:bCs/>
      <w:i/>
      <w:iCs/>
      <w:sz w:val="26"/>
      <w:szCs w:val="26"/>
      <w:lang w:eastAsia="ar-SA"/>
    </w:rPr>
  </w:style>
  <w:style w:type="paragraph" w:styleId="Paragrafoelenco">
    <w:name w:val="List Paragraph"/>
    <w:basedOn w:val="Normale"/>
    <w:uiPriority w:val="99"/>
    <w:qFormat/>
    <w:rsid w:val="007F5D3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Luisa Sedda</dc:creator>
  <cp:keywords/>
  <dc:description/>
  <cp:lastModifiedBy>Giuseppina Luisa Sedda</cp:lastModifiedBy>
  <cp:revision>2</cp:revision>
  <dcterms:created xsi:type="dcterms:W3CDTF">2026-01-08T08:26:00Z</dcterms:created>
  <dcterms:modified xsi:type="dcterms:W3CDTF">2026-01-08T08:26:00Z</dcterms:modified>
</cp:coreProperties>
</file>